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BFI FAN Innovation Lab: Next Audiences</w:t>
      </w:r>
    </w:p>
    <w:p w:rsidR="00000000" w:rsidDel="00000000" w:rsidP="00000000" w:rsidRDefault="00000000" w:rsidRPr="00000000" w14:paraId="00000002">
      <w:pPr>
        <w:spacing w:line="25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4.0" w:type="dxa"/>
        <w:jc w:val="left"/>
        <w:tblInd w:w="-1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4"/>
        <w:tblGridChange w:id="0">
          <w:tblGrid>
            <w:gridCol w:w="9364"/>
          </w:tblGrid>
        </w:tblGridChange>
      </w:tblGrid>
      <w:tr>
        <w:trPr>
          <w:cantSplit w:val="0"/>
          <w:trHeight w:val="2182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spacing w:line="25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two-day residential lab + ongoing partner project to diversify audiences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Organisations will be paired by the facilitator unless they apply with a prospective partner.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BFI FAN welcomes Expressions of Interest from people who may experience racism.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focuses:</w:t>
            </w:r>
            <w:r w:rsidDel="00000000" w:rsidR="00000000" w:rsidRPr="00000000">
              <w:rPr>
                <w:rtl w:val="0"/>
              </w:rPr>
              <w:t xml:space="preserve"> partnership; exhibition talent development; growing ethnically diverse audiences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March-April, 2022</w:t>
            </w:r>
            <w:r w:rsidDel="00000000" w:rsidR="00000000" w:rsidRPr="00000000">
              <w:rPr>
                <w:rtl w:val="0"/>
              </w:rPr>
              <w:t xml:space="preserve">: Individual and partner work + consultation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20-22 April, 2022</w:t>
            </w:r>
            <w:r w:rsidDel="00000000" w:rsidR="00000000" w:rsidRPr="00000000">
              <w:rPr>
                <w:rtl w:val="0"/>
              </w:rPr>
              <w:t xml:space="preserve">: Residential lab in Cheshire, England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Cost:</w:t>
            </w:r>
            <w:r w:rsidDel="00000000" w:rsidR="00000000" w:rsidRPr="00000000">
              <w:rPr>
                <w:rtl w:val="0"/>
              </w:rPr>
              <w:t xml:space="preserve"> £240 (inc. VAT) + travel. Bursaries + freelancer honorariums are available.</w:t>
            </w:r>
          </w:p>
          <w:p w:rsidR="00000000" w:rsidDel="00000000" w:rsidP="00000000" w:rsidRDefault="00000000" w:rsidRPr="00000000" w14:paraId="00000010">
            <w:pPr>
              <w:spacing w:line="25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5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EVENT DETAILS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spacing w:line="25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Overview:</w:t>
      </w:r>
    </w:p>
    <w:p w:rsidR="00000000" w:rsidDel="00000000" w:rsidP="00000000" w:rsidRDefault="00000000" w:rsidRPr="00000000" w14:paraId="00000015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rPr/>
      </w:pPr>
      <w:r w:rsidDel="00000000" w:rsidR="00000000" w:rsidRPr="00000000">
        <w:rPr>
          <w:rtl w:val="0"/>
        </w:rPr>
        <w:t xml:space="preserve">Part of the BFI FAN Innovation Lab series</w:t>
      </w:r>
      <w:r w:rsidDel="00000000" w:rsidR="00000000" w:rsidRPr="00000000">
        <w:rPr>
          <w:i w:val="1"/>
          <w:rtl w:val="0"/>
        </w:rPr>
        <w:t xml:space="preserve">, Next Audiences</w:t>
      </w:r>
      <w:r w:rsidDel="00000000" w:rsidR="00000000" w:rsidRPr="00000000">
        <w:rPr>
          <w:rtl w:val="0"/>
        </w:rPr>
        <w:t xml:space="preserve"> is a two-day training and professional development lab with a focus on diversifying audiences. In particular, this lab will focus on reaching new audiences from underrepresented ethnicities, via projects developed by participant organisations in partnership. It will also provide a valuable talent development opportunity for exhibitors.</w:t>
      </w:r>
    </w:p>
    <w:p w:rsidR="00000000" w:rsidDel="00000000" w:rsidP="00000000" w:rsidRDefault="00000000" w:rsidRPr="00000000" w14:paraId="00000017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6" w:lineRule="auto"/>
        <w:rPr/>
      </w:pPr>
      <w:bookmarkStart w:colFirst="0" w:colLast="0" w:name="_heading=h.2et92p0" w:id="0"/>
      <w:bookmarkEnd w:id="0"/>
      <w:r w:rsidDel="00000000" w:rsidR="00000000" w:rsidRPr="00000000">
        <w:rPr>
          <w:rtl w:val="0"/>
        </w:rPr>
        <w:t xml:space="preserve">Each partnership will be made up of at least one decision-maker from a venue with a regular screening programme + at least one decision-maker from an organisation whose leadership is of underrepresented ethnicity/ies.</w:t>
      </w:r>
    </w:p>
    <w:p w:rsidR="00000000" w:rsidDel="00000000" w:rsidP="00000000" w:rsidRDefault="00000000" w:rsidRPr="00000000" w14:paraId="00000019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rPr/>
      </w:pPr>
      <w:r w:rsidDel="00000000" w:rsidR="00000000" w:rsidRPr="00000000">
        <w:rPr>
          <w:rtl w:val="0"/>
        </w:rPr>
        <w:t xml:space="preserve">The event will include invited speakers, facilitated discussions and workshops, networking and social events. Participants will exchange knowledge, work on personal challenges, and find practical actions/solutions as a group. </w:t>
      </w:r>
    </w:p>
    <w:p w:rsidR="00000000" w:rsidDel="00000000" w:rsidP="00000000" w:rsidRDefault="00000000" w:rsidRPr="00000000" w14:paraId="0000001B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Background: </w:t>
      </w:r>
    </w:p>
    <w:p w:rsidR="00000000" w:rsidDel="00000000" w:rsidP="00000000" w:rsidRDefault="00000000" w:rsidRPr="00000000" w14:paraId="0000001E">
      <w:pPr>
        <w:spacing w:line="25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6" w:lineRule="auto"/>
        <w:rPr>
          <w:i w:val="1"/>
        </w:rPr>
      </w:pPr>
      <w:r w:rsidDel="00000000" w:rsidR="00000000" w:rsidRPr="00000000">
        <w:rPr>
          <w:rtl w:val="0"/>
        </w:rPr>
        <w:t xml:space="preserve">In the current context of ‘living with Covid’, we want to bring together organisations from the screen exhibition sector to explore the challenges of audience development; to consider their core audiences, new audiences, and to look towards future audiences - the </w:t>
      </w:r>
      <w:r w:rsidDel="00000000" w:rsidR="00000000" w:rsidRPr="00000000">
        <w:rPr>
          <w:i w:val="1"/>
          <w:rtl w:val="0"/>
        </w:rPr>
        <w:t xml:space="preserve">next audiences. </w:t>
      </w:r>
    </w:p>
    <w:p w:rsidR="00000000" w:rsidDel="00000000" w:rsidP="00000000" w:rsidRDefault="00000000" w:rsidRPr="00000000" w14:paraId="00000020">
      <w:pPr>
        <w:spacing w:line="25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6" w:lineRule="auto"/>
        <w:rPr/>
      </w:pPr>
      <w:r w:rsidDel="00000000" w:rsidR="00000000" w:rsidRPr="00000000">
        <w:rPr>
          <w:rtl w:val="0"/>
        </w:rPr>
        <w:t xml:space="preserve">The next audiences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will be more diverse than ever in terms of age, ethnicity, gender, sexuality, and other identities and characteristics. We want to explore organisations’ </w:t>
      </w:r>
      <w:r w:rsidDel="00000000" w:rsidR="00000000" w:rsidRPr="00000000">
        <w:rPr>
          <w:rtl w:val="0"/>
        </w:rPr>
        <w:t xml:space="preserve">missions</w:t>
      </w:r>
      <w:r w:rsidDel="00000000" w:rsidR="00000000" w:rsidRPr="00000000">
        <w:rPr>
          <w:rtl w:val="0"/>
        </w:rPr>
        <w:t xml:space="preserve">, and their fitness within current and foreseeable </w:t>
      </w:r>
      <w:r w:rsidDel="00000000" w:rsidR="00000000" w:rsidRPr="00000000">
        <w:rPr>
          <w:rtl w:val="0"/>
        </w:rPr>
        <w:t xml:space="preserve">social </w:t>
      </w:r>
      <w:r w:rsidDel="00000000" w:rsidR="00000000" w:rsidRPr="00000000">
        <w:rPr>
          <w:rtl w:val="0"/>
        </w:rPr>
        <w:t xml:space="preserve">contexts. How do organisations want to re-engage their core audiences, and establish ways to reach new audiences? How can this work be done in partnership with people with lived experience of racism; with authentic consultation with these communities?’  </w:t>
      </w:r>
    </w:p>
    <w:p w:rsidR="00000000" w:rsidDel="00000000" w:rsidP="00000000" w:rsidRDefault="00000000" w:rsidRPr="00000000" w14:paraId="00000022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Lab Speakers:</w:t>
      </w:r>
    </w:p>
    <w:p w:rsidR="00000000" w:rsidDel="00000000" w:rsidP="00000000" w:rsidRDefault="00000000" w:rsidRPr="00000000" w14:paraId="00000024">
      <w:pPr>
        <w:spacing w:line="256" w:lineRule="auto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The two-day lab will be facilitated by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Huttson Lo</w:t>
        </w:r>
      </w:hyperlink>
      <w:r w:rsidDel="00000000" w:rsidR="00000000" w:rsidRPr="00000000">
        <w:rPr>
          <w:rtl w:val="0"/>
        </w:rPr>
        <w:t xml:space="preserve">.</w:t>
        <w:br w:type="textWrapping"/>
        <w:t xml:space="preserve">We aim to adapt the programme to suit participants’ needs, so we will confirm </w:t>
      </w:r>
      <w:r w:rsidDel="00000000" w:rsidR="00000000" w:rsidRPr="00000000">
        <w:rPr>
          <w:rtl w:val="0"/>
        </w:rPr>
        <w:t xml:space="preserve">experienced </w:t>
      </w:r>
      <w:r w:rsidDel="00000000" w:rsidR="00000000" w:rsidRPr="00000000">
        <w:rPr>
          <w:rtl w:val="0"/>
        </w:rPr>
        <w:t xml:space="preserve">speakers once we have received expressions of interest.</w:t>
      </w:r>
    </w:p>
    <w:p w:rsidR="00000000" w:rsidDel="00000000" w:rsidP="00000000" w:rsidRDefault="00000000" w:rsidRPr="00000000" w14:paraId="00000025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WHO IT’S FOR:</w:t>
      </w:r>
    </w:p>
    <w:p w:rsidR="00000000" w:rsidDel="00000000" w:rsidP="00000000" w:rsidRDefault="00000000" w:rsidRPr="00000000" w14:paraId="00000027">
      <w:pPr>
        <w:spacing w:line="25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 profile:</w:t>
      </w:r>
    </w:p>
    <w:p w:rsidR="00000000" w:rsidDel="00000000" w:rsidP="00000000" w:rsidRDefault="00000000" w:rsidRPr="00000000" w14:paraId="00000029">
      <w:pPr>
        <w:spacing w:line="25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6" w:lineRule="auto"/>
        <w:rPr/>
      </w:pPr>
      <w:r w:rsidDel="00000000" w:rsidR="00000000" w:rsidRPr="00000000">
        <w:rPr>
          <w:rtl w:val="0"/>
        </w:rPr>
        <w:t xml:space="preserve">Each collaboration partnership will comprise at least two participants from each Hub region, from two+ film exhibition organisations who are committed to working together on at least one project. Each partnership will include at least: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56" w:lineRule="auto"/>
        <w:ind w:left="720" w:hanging="360"/>
        <w:rPr/>
      </w:pPr>
      <w:r w:rsidDel="00000000" w:rsidR="00000000" w:rsidRPr="00000000">
        <w:rPr>
          <w:rtl w:val="0"/>
        </w:rPr>
        <w:t xml:space="preserve">One decision-maker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 a venue with a regular screening programme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56" w:lineRule="auto"/>
        <w:ind w:left="720" w:hanging="360"/>
        <w:rPr/>
      </w:pPr>
      <w:r w:rsidDel="00000000" w:rsidR="00000000" w:rsidRPr="00000000">
        <w:rPr>
          <w:rtl w:val="0"/>
        </w:rPr>
        <w:t xml:space="preserve">One decision-maker from an organisation whose leadership is of underrepresented ethnicity/ies</w:t>
      </w:r>
    </w:p>
    <w:p w:rsidR="00000000" w:rsidDel="00000000" w:rsidP="00000000" w:rsidRDefault="00000000" w:rsidRPr="00000000" w14:paraId="0000002D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For a venue, ‘leadership’ or ‘decision-maker’ might be a CEO or Head of Department. For a non-constituted collective, this may be a founder or other key actor.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6" w:lineRule="auto"/>
        <w:rPr/>
      </w:pPr>
      <w:r w:rsidDel="00000000" w:rsidR="00000000" w:rsidRPr="00000000">
        <w:rPr>
          <w:rtl w:val="0"/>
        </w:rPr>
        <w:t xml:space="preserve">We are particularly interested in applications from people in programming, marketing or audience development roles, as well as senior managers.</w:t>
      </w:r>
    </w:p>
    <w:p w:rsidR="00000000" w:rsidDel="00000000" w:rsidP="00000000" w:rsidRDefault="00000000" w:rsidRPr="00000000" w14:paraId="00000031">
      <w:pPr>
        <w:spacing w:line="25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56" w:lineRule="auto"/>
        <w:rPr/>
      </w:pPr>
      <w:r w:rsidDel="00000000" w:rsidR="00000000" w:rsidRPr="00000000">
        <w:rPr>
          <w:rtl w:val="0"/>
        </w:rPr>
        <w:t xml:space="preserve">Participants may apply with an established connection with a partner. Or, they may wish to develop a new partnership, facilitated by the lab organisers.</w:t>
      </w:r>
    </w:p>
    <w:p w:rsidR="00000000" w:rsidDel="00000000" w:rsidP="00000000" w:rsidRDefault="00000000" w:rsidRPr="00000000" w14:paraId="00000033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6" w:lineRule="auto"/>
        <w:rPr/>
      </w:pPr>
      <w:r w:rsidDel="00000000" w:rsidR="00000000" w:rsidRPr="00000000">
        <w:rPr>
          <w:rtl w:val="0"/>
        </w:rPr>
        <w:t xml:space="preserve">FAN anticipates around 24 participants. </w:t>
      </w:r>
    </w:p>
    <w:p w:rsidR="00000000" w:rsidDel="00000000" w:rsidP="00000000" w:rsidRDefault="00000000" w:rsidRPr="00000000" w14:paraId="00000035">
      <w:pPr>
        <w:spacing w:line="256" w:lineRule="auto"/>
        <w:rPr>
          <w:b w:val="1"/>
          <w:u w:val="single"/>
        </w:rPr>
      </w:pPr>
      <w:bookmarkStart w:colFirst="0" w:colLast="0" w:name="_heading=h.b7otsrw2lz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5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LAB OBJECTIVES:</w:t>
      </w:r>
    </w:p>
    <w:p w:rsidR="00000000" w:rsidDel="00000000" w:rsidP="00000000" w:rsidRDefault="00000000" w:rsidRPr="00000000" w14:paraId="00000037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lab aims to generate:</w:t>
      </w:r>
    </w:p>
    <w:p w:rsidR="00000000" w:rsidDel="00000000" w:rsidP="00000000" w:rsidRDefault="00000000" w:rsidRPr="00000000" w14:paraId="0000003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Commitment to activating cultural change, to grow ethnically diverse audiences;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Inspiration and motivation to collaborate, as a safe space for co-mentoring;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Solutions to barriers and blocks to joint working;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Strong, equal, trusting, and sustainable partnerships between venues </w:t>
      </w:r>
      <w:r w:rsidDel="00000000" w:rsidR="00000000" w:rsidRPr="00000000">
        <w:rPr>
          <w:rtl w:val="0"/>
        </w:rPr>
        <w:t xml:space="preserve">and non-venue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organisations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Projects with clearly outlined deliverables, developed through reciprocal dialogue;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Authentically inclusive, practical project plans that can be replicated in the real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56" w:lineRule="auto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Each collaborative project should: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a screening project for which both organisations truly collaborate to deliver something together, with an equitable partnership in place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accessible to public UK audiences. This could be as a physical event/series, or online or hybrid event/s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Target inclusion of minoritised communities, who may not be a typical audience for the venue partner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potential to be expanded into a longer-running series of screenings, which are embedded into a regular programme 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Build profile and create future opportunities for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underrepresented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exhibition partner</w:t>
      </w:r>
    </w:p>
    <w:p w:rsidR="00000000" w:rsidDel="00000000" w:rsidP="00000000" w:rsidRDefault="00000000" w:rsidRPr="00000000" w14:paraId="00000046">
      <w:pPr>
        <w:spacing w:line="25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5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HOW TO TAKE PART:</w:t>
      </w:r>
    </w:p>
    <w:p w:rsidR="00000000" w:rsidDel="00000000" w:rsidP="00000000" w:rsidRDefault="00000000" w:rsidRPr="00000000" w14:paraId="00000048">
      <w:pPr>
        <w:spacing w:line="25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5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EOI:</w:t>
      </w:r>
    </w:p>
    <w:p w:rsidR="00000000" w:rsidDel="00000000" w:rsidP="00000000" w:rsidRDefault="00000000" w:rsidRPr="00000000" w14:paraId="0000004A">
      <w:pPr>
        <w:spacing w:line="256" w:lineRule="auto"/>
        <w:rPr/>
      </w:pPr>
      <w:r w:rsidDel="00000000" w:rsidR="00000000" w:rsidRPr="00000000">
        <w:rPr>
          <w:rtl w:val="0"/>
        </w:rPr>
        <w:t xml:space="preserve">To express interest in taking part, please complete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this short online EOI form</w:t>
        </w:r>
      </w:hyperlink>
      <w:r w:rsidDel="00000000" w:rsidR="00000000" w:rsidRPr="00000000">
        <w:rPr>
          <w:rtl w:val="0"/>
        </w:rPr>
        <w:t xml:space="preserve"> by 25 February,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5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5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Dates:</w:t>
      </w:r>
    </w:p>
    <w:p w:rsidR="00000000" w:rsidDel="00000000" w:rsidP="00000000" w:rsidRDefault="00000000" w:rsidRPr="00000000" w14:paraId="0000004D">
      <w:pPr>
        <w:spacing w:line="256" w:lineRule="auto"/>
        <w:rPr/>
      </w:pPr>
      <w:r w:rsidDel="00000000" w:rsidR="00000000" w:rsidRPr="00000000">
        <w:rPr>
          <w:rtl w:val="0"/>
        </w:rPr>
        <w:t xml:space="preserve">March-April 2022: Individual and partnership work conducted in consultation with Lab Facilitator; </w:t>
      </w:r>
    </w:p>
    <w:p w:rsidR="00000000" w:rsidDel="00000000" w:rsidP="00000000" w:rsidRDefault="00000000" w:rsidRPr="00000000" w14:paraId="0000004E">
      <w:pPr>
        <w:spacing w:line="256" w:lineRule="auto"/>
        <w:rPr/>
      </w:pPr>
      <w:r w:rsidDel="00000000" w:rsidR="00000000" w:rsidRPr="00000000">
        <w:rPr>
          <w:rtl w:val="0"/>
        </w:rPr>
        <w:t xml:space="preserve">20-22 April 2022: Residential lab</w:t>
      </w:r>
    </w:p>
    <w:p w:rsidR="00000000" w:rsidDel="00000000" w:rsidP="00000000" w:rsidRDefault="00000000" w:rsidRPr="00000000" w14:paraId="0000004F">
      <w:pPr>
        <w:spacing w:line="25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25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Lab location:</w:t>
      </w:r>
    </w:p>
    <w:p w:rsidR="00000000" w:rsidDel="00000000" w:rsidP="00000000" w:rsidRDefault="00000000" w:rsidRPr="00000000" w14:paraId="00000051">
      <w:pPr>
        <w:spacing w:line="256" w:lineRule="auto"/>
        <w:rPr/>
      </w:pPr>
      <w:r w:rsidDel="00000000" w:rsidR="00000000" w:rsidRPr="00000000">
        <w:rPr>
          <w:rtl w:val="0"/>
        </w:rPr>
        <w:t xml:space="preserve">The Stanneylands Hotel, Cheshire.</w:t>
      </w:r>
    </w:p>
    <w:p w:rsidR="00000000" w:rsidDel="00000000" w:rsidP="00000000" w:rsidRDefault="00000000" w:rsidRPr="00000000" w14:paraId="00000052">
      <w:pPr>
        <w:spacing w:line="25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5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Fee:</w:t>
      </w:r>
    </w:p>
    <w:p w:rsidR="00000000" w:rsidDel="00000000" w:rsidP="00000000" w:rsidRDefault="00000000" w:rsidRPr="00000000" w14:paraId="00000054">
      <w:pPr>
        <w:spacing w:line="256" w:lineRule="auto"/>
        <w:rPr/>
      </w:pPr>
      <w:r w:rsidDel="00000000" w:rsidR="00000000" w:rsidRPr="00000000">
        <w:rPr>
          <w:rtl w:val="0"/>
        </w:rPr>
        <w:t xml:space="preserve">£200+VAT (£240 total) per participant. This includes training, two nights’ accommodation and meals. Speak to your local Hub about applying for a bursary if needed.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Freelancer honorarium:</w:t>
        <w:br w:type="textWrapping"/>
      </w:r>
      <w:r w:rsidDel="00000000" w:rsidR="00000000" w:rsidRPr="00000000">
        <w:rPr>
          <w:rtl w:val="0"/>
        </w:rPr>
        <w:t xml:space="preserve">Participants who are freelance in their film exhibition role will </w:t>
      </w:r>
      <w:r w:rsidDel="00000000" w:rsidR="00000000" w:rsidRPr="00000000">
        <w:rPr>
          <w:rtl w:val="0"/>
        </w:rPr>
        <w:t xml:space="preserve">receive £240 to cover the cost of the two-day session</w:t>
      </w:r>
      <w:r w:rsidDel="00000000" w:rsidR="00000000" w:rsidRPr="00000000">
        <w:rPr>
          <w:rtl w:val="0"/>
        </w:rPr>
        <w:t xml:space="preserve">. Participants who are salaried employees will not receive honorariums.</w:t>
      </w:r>
    </w:p>
    <w:p w:rsidR="00000000" w:rsidDel="00000000" w:rsidP="00000000" w:rsidRDefault="00000000" w:rsidRPr="00000000" w14:paraId="00000055">
      <w:pPr>
        <w:spacing w:line="256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BFI FAN Innovation Lab: Next Audiences is a joint project, created by Film Hub Scotland and Film Hub Wales.</w:t>
      </w:r>
    </w:p>
    <w:p w:rsidR="00000000" w:rsidDel="00000000" w:rsidP="00000000" w:rsidRDefault="00000000" w:rsidRPr="00000000" w14:paraId="00000056">
      <w:pPr>
        <w:spacing w:line="25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56" w:lineRule="auto"/>
        <w:rPr>
          <w:b w:val="1"/>
          <w:u w:val="single"/>
        </w:rPr>
      </w:pPr>
      <w:hyperlink r:id="rId9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REGISTER AN EXPRESSION OF INTEREST HERE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56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D82BE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D82BEB"/>
    <w:rPr>
      <w:color w:val="605e5c"/>
      <w:shd w:color="auto" w:fill="e1dfdd" w:val="clear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31FB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6205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62053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925A8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37D1F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37D1F"/>
    <w:rPr>
      <w:rFonts w:ascii="Times New Roman" w:cs="Times New Roman" w:hAnsi="Times New Roman"/>
      <w:sz w:val="18"/>
      <w:szCs w:val="18"/>
    </w:rPr>
  </w:style>
  <w:style w:type="paragraph" w:styleId="Revision">
    <w:name w:val="Revision"/>
    <w:hidden w:val="1"/>
    <w:uiPriority w:val="99"/>
    <w:semiHidden w:val="1"/>
    <w:rsid w:val="00DC0B05"/>
    <w:pPr>
      <w:spacing w:line="240" w:lineRule="auto"/>
    </w:pPr>
  </w:style>
  <w:style w:type="paragraph" w:styleId="ListParagraph">
    <w:name w:val="List Paragraph"/>
    <w:basedOn w:val="Normal"/>
    <w:uiPriority w:val="34"/>
    <w:qFormat w:val="1"/>
    <w:rsid w:val="008077A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66zG3CstLbr7zpxX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inkedin.com/in/huttson/" TargetMode="External"/><Relationship Id="rId8" Type="http://schemas.openxmlformats.org/officeDocument/2006/relationships/hyperlink" Target="https://forms.gle/66zG3CstLbr7zpx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3Qgak0aylAuBkvXfY4VXZ51sUg==">AMUW2mVFAbZRmANOvNvBXtqCbhG0wrUXeYgBRrQ8tpNdz2E14R6TnY5a21RpaPu1Tn4bmKkUloBrBVGnG3fHLY9VBrVDgGXu3i/ckHCAK0FhKjlvMYYlNXQwvMvwSc7ius20LR2PYN5E4+UnYX1YOFccecpSHu0N7fRNaCKTMMK5lYV70ldBESSpbA3YJDXIf+7DEsFH1aiivxCD38FWFeHzsJVexkpOr07f/y0cduvRZVMKIUktDnhVMLqAbhpmJjN9POhzeWkO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2022-02-04T15:15:00Z</dcterms:created>
</cp:coreProperties>
</file>